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00" w:beforeAutospacing="1" w:after="0" w:line="240" w:lineRule="auto"/>
        <w:jc w:val="center"/>
        <w:rPr>
          <w:rFonts w:ascii="宋体" w:hAnsi="宋体" w:eastAsia="宋体"/>
        </w:rPr>
      </w:pPr>
      <w:r>
        <w:rPr>
          <w:rFonts w:hint="eastAsia" w:ascii="宋体" w:hAnsi="宋体" w:eastAsia="宋体"/>
        </w:rPr>
        <w:t>总经理岗位说明书</w:t>
      </w:r>
    </w:p>
    <w:tbl>
      <w:tblPr>
        <w:tblStyle w:val="7"/>
        <w:tblW w:w="90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5"/>
        <w:gridCol w:w="745"/>
        <w:gridCol w:w="502"/>
        <w:gridCol w:w="2467"/>
        <w:gridCol w:w="1672"/>
        <w:gridCol w:w="30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themeFill="background1" w:themeFillShade="A6"/>
            <w:vAlign w:val="center"/>
          </w:tcPr>
          <w:p>
            <w:pPr>
              <w:jc w:val="left"/>
              <w:rPr>
                <w:b/>
              </w:rPr>
            </w:pPr>
            <w:r>
              <w:rPr>
                <w:b/>
              </w:rPr>
              <w:t>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vAlign w:val="center"/>
          </w:tcPr>
          <w:p>
            <w:pPr>
              <w:jc w:val="center"/>
            </w:pPr>
            <w:r>
              <w:rPr>
                <w:b/>
              </w:rPr>
              <w:t>岗位名称</w:t>
            </w:r>
          </w:p>
        </w:tc>
        <w:tc>
          <w:tcPr>
            <w:tcW w:w="7194" w:type="dxa"/>
            <w:gridSpan w:val="3"/>
            <w:vAlign w:val="center"/>
          </w:tcPr>
          <w:p>
            <w:pPr>
              <w:jc w:val="center"/>
            </w:pPr>
            <w:r>
              <w:rPr>
                <w:rFonts w:hint="eastAsia"/>
              </w:rPr>
              <w:t xml:space="preserve">  总经理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vAlign w:val="center"/>
          </w:tcPr>
          <w:p>
            <w:pPr>
              <w:jc w:val="center"/>
              <w:rPr>
                <w:b/>
              </w:rPr>
            </w:pPr>
            <w:r>
              <w:rPr>
                <w:b/>
              </w:rPr>
              <w:t>所属部门</w:t>
            </w:r>
          </w:p>
        </w:tc>
        <w:tc>
          <w:tcPr>
            <w:tcW w:w="2467" w:type="dxa"/>
            <w:vAlign w:val="center"/>
          </w:tcPr>
          <w:p>
            <w:pPr>
              <w:jc w:val="center"/>
            </w:pPr>
          </w:p>
        </w:tc>
        <w:tc>
          <w:tcPr>
            <w:tcW w:w="1672" w:type="dxa"/>
            <w:vAlign w:val="center"/>
          </w:tcPr>
          <w:p>
            <w:pPr>
              <w:jc w:val="center"/>
              <w:rPr>
                <w:b/>
              </w:rPr>
            </w:pPr>
            <w:r>
              <w:rPr>
                <w:b/>
              </w:rPr>
              <w:t>岗位编码</w:t>
            </w:r>
          </w:p>
        </w:tc>
        <w:tc>
          <w:tcPr>
            <w:tcW w:w="305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vAlign w:val="center"/>
          </w:tcPr>
          <w:p>
            <w:pPr>
              <w:jc w:val="center"/>
              <w:rPr>
                <w:b/>
              </w:rPr>
            </w:pPr>
            <w:r>
              <w:rPr>
                <w:b/>
              </w:rPr>
              <w:t>直接上级</w:t>
            </w:r>
          </w:p>
        </w:tc>
        <w:tc>
          <w:tcPr>
            <w:tcW w:w="2467" w:type="dxa"/>
            <w:vAlign w:val="center"/>
          </w:tcPr>
          <w:p>
            <w:pPr>
              <w:jc w:val="center"/>
            </w:pPr>
            <w:r>
              <w:rPr>
                <w:rFonts w:hint="eastAsia"/>
              </w:rPr>
              <w:t xml:space="preserve">  董事长</w:t>
            </w:r>
          </w:p>
        </w:tc>
        <w:tc>
          <w:tcPr>
            <w:tcW w:w="1672" w:type="dxa"/>
            <w:vAlign w:val="center"/>
          </w:tcPr>
          <w:p>
            <w:pPr>
              <w:jc w:val="center"/>
              <w:rPr>
                <w:b/>
              </w:rPr>
            </w:pPr>
            <w:r>
              <w:rPr>
                <w:b/>
              </w:rPr>
              <w:t>直接下级</w:t>
            </w:r>
          </w:p>
        </w:tc>
        <w:tc>
          <w:tcPr>
            <w:tcW w:w="305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vAlign w:val="center"/>
          </w:tcPr>
          <w:p>
            <w:pPr>
              <w:jc w:val="center"/>
              <w:rPr>
                <w:b/>
              </w:rPr>
            </w:pPr>
            <w:r>
              <w:rPr>
                <w:b/>
              </w:rPr>
              <w:t>编制人员</w:t>
            </w:r>
          </w:p>
        </w:tc>
        <w:tc>
          <w:tcPr>
            <w:tcW w:w="2467" w:type="dxa"/>
            <w:vAlign w:val="center"/>
          </w:tcPr>
          <w:p>
            <w:pPr>
              <w:jc w:val="center"/>
            </w:pPr>
            <w:r>
              <w:rPr>
                <w:rFonts w:hint="eastAsia"/>
              </w:rPr>
              <w:t>1人</w:t>
            </w:r>
          </w:p>
        </w:tc>
        <w:tc>
          <w:tcPr>
            <w:tcW w:w="1672" w:type="dxa"/>
            <w:vAlign w:val="center"/>
          </w:tcPr>
          <w:p>
            <w:pPr>
              <w:jc w:val="center"/>
              <w:rPr>
                <w:b/>
              </w:rPr>
            </w:pPr>
            <w:r>
              <w:rPr>
                <w:b/>
              </w:rPr>
              <w:t>审核人员</w:t>
            </w:r>
          </w:p>
        </w:tc>
        <w:tc>
          <w:tcPr>
            <w:tcW w:w="305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vAlign w:val="center"/>
          </w:tcPr>
          <w:p>
            <w:pPr>
              <w:jc w:val="center"/>
              <w:rPr>
                <w:b/>
              </w:rPr>
            </w:pPr>
            <w:r>
              <w:rPr>
                <w:b/>
              </w:rPr>
              <w:t>版本编号</w:t>
            </w:r>
          </w:p>
        </w:tc>
        <w:tc>
          <w:tcPr>
            <w:tcW w:w="2467" w:type="dxa"/>
            <w:vAlign w:val="center"/>
          </w:tcPr>
          <w:p>
            <w:pPr>
              <w:jc w:val="center"/>
            </w:pPr>
          </w:p>
        </w:tc>
        <w:tc>
          <w:tcPr>
            <w:tcW w:w="1672" w:type="dxa"/>
            <w:vAlign w:val="center"/>
          </w:tcPr>
          <w:p>
            <w:pPr>
              <w:jc w:val="center"/>
              <w:rPr>
                <w:b/>
              </w:rPr>
            </w:pPr>
            <w:r>
              <w:rPr>
                <w:b/>
              </w:rPr>
              <w:t>编修日期</w:t>
            </w:r>
          </w:p>
        </w:tc>
        <w:tc>
          <w:tcPr>
            <w:tcW w:w="305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themeFill="background1" w:themeFillShade="A6"/>
            <w:vAlign w:val="center"/>
          </w:tcPr>
          <w:p>
            <w:pPr>
              <w:rPr>
                <w:b/>
              </w:rPr>
            </w:pPr>
            <w:r>
              <w:rPr>
                <w:b/>
              </w:rPr>
              <w:t>岗位目的：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9006" w:type="dxa"/>
            <w:gridSpan w:val="6"/>
            <w:vAlign w:val="center"/>
          </w:tcPr>
          <w:p>
            <w:pPr>
              <w:ind w:firstLine="420" w:firstLineChars="200"/>
            </w:pPr>
            <w:r>
              <w:rPr>
                <w:rFonts w:hint="eastAsia"/>
                <w:szCs w:val="18"/>
              </w:rPr>
              <w:t>在公司董事会的授权下，主持公司经营管理全面工作，落实公司党组织、董事会决策部署，协助董事长负责董事会相关工作，执行落实公司发展战略与年度经营计划，</w:t>
            </w:r>
            <w:r>
              <w:rPr>
                <w:szCs w:val="18"/>
              </w:rPr>
              <w:t>在职权范围内对有关事项进行决策并承担责任，</w:t>
            </w:r>
            <w:r>
              <w:rPr>
                <w:rFonts w:hint="eastAsia"/>
                <w:szCs w:val="18"/>
              </w:rPr>
              <w:t>落实公司党建与安全生产工作责任制，实现公司年度经营目标与管理目标，</w:t>
            </w:r>
            <w:r>
              <w:t>保障公司健康稳定可持续发展。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themeFill="background1" w:themeFillShade="A6"/>
            <w:vAlign w:val="center"/>
          </w:tcPr>
          <w:p>
            <w:pPr>
              <w:rPr>
                <w:b/>
              </w:rPr>
            </w:pPr>
            <w:r>
              <w:rPr>
                <w:rFonts w:hint="eastAsia"/>
                <w:b/>
              </w:rPr>
              <w:t>工作职责与工作任务</w:t>
            </w:r>
            <w:r>
              <w:rPr>
                <w:b/>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restart"/>
            <w:vAlign w:val="center"/>
          </w:tcPr>
          <w:p>
            <w:pPr>
              <w:jc w:val="center"/>
              <w:rPr>
                <w:szCs w:val="18"/>
              </w:rPr>
            </w:pPr>
            <w:r>
              <w:rPr>
                <w:rFonts w:hint="eastAsia"/>
                <w:szCs w:val="18"/>
              </w:rPr>
              <w:t>战略与计划</w:t>
            </w:r>
          </w:p>
        </w:tc>
        <w:tc>
          <w:tcPr>
            <w:tcW w:w="7696" w:type="dxa"/>
            <w:gridSpan w:val="4"/>
            <w:vAlign w:val="center"/>
          </w:tcPr>
          <w:p>
            <w:pPr>
              <w:rPr>
                <w:szCs w:val="18"/>
              </w:rPr>
            </w:pPr>
            <w:r>
              <w:rPr>
                <w:rFonts w:hint="eastAsia"/>
                <w:szCs w:val="18"/>
              </w:rPr>
              <w:t>职责描述：统筹组织制定企业发展战略与经营计划并实施。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vAlign w:val="center"/>
          </w:tcPr>
          <w:p>
            <w:pPr>
              <w:jc w:val="center"/>
              <w:rPr>
                <w:szCs w:val="18"/>
              </w:rPr>
            </w:pPr>
          </w:p>
        </w:tc>
        <w:tc>
          <w:tcPr>
            <w:tcW w:w="502" w:type="dxa"/>
            <w:vMerge w:val="restart"/>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vAlign w:val="center"/>
          </w:tcPr>
          <w:p>
            <w:pPr>
              <w:rPr>
                <w:szCs w:val="18"/>
              </w:rPr>
            </w:pPr>
            <w:r>
              <w:rPr>
                <w:rFonts w:hint="eastAsia"/>
                <w:szCs w:val="18"/>
              </w:rPr>
              <w:t>1.组织制订公司长期发展战略，经营方针、经营目标、发展规划、重大技术改造及引进计划等工作，经董事会审核批准后，督促指导落实情况，确保各项目标顺利完成。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vAlign w:val="center"/>
          </w:tcPr>
          <w:p>
            <w:pPr>
              <w:jc w:val="center"/>
              <w:rPr>
                <w:szCs w:val="18"/>
              </w:rPr>
            </w:pPr>
          </w:p>
        </w:tc>
        <w:tc>
          <w:tcPr>
            <w:tcW w:w="502" w:type="dxa"/>
            <w:vMerge w:val="continue"/>
            <w:vAlign w:val="center"/>
          </w:tcPr>
          <w:p>
            <w:pPr>
              <w:jc w:val="center"/>
              <w:rPr>
                <w:szCs w:val="18"/>
              </w:rPr>
            </w:pPr>
          </w:p>
        </w:tc>
        <w:tc>
          <w:tcPr>
            <w:tcW w:w="7194" w:type="dxa"/>
            <w:gridSpan w:val="3"/>
            <w:vAlign w:val="center"/>
          </w:tcPr>
          <w:p>
            <w:pPr>
              <w:rPr>
                <w:szCs w:val="18"/>
              </w:rPr>
            </w:pPr>
            <w:r>
              <w:rPr>
                <w:rFonts w:hint="eastAsia"/>
                <w:szCs w:val="18"/>
              </w:rPr>
              <w:t>2.定期检视公司的发展战略和经营计划的执行情况，并及时根据实际情况做出相应调整。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vAlign w:val="center"/>
          </w:tcPr>
          <w:p>
            <w:pPr>
              <w:jc w:val="center"/>
              <w:rPr>
                <w:szCs w:val="18"/>
              </w:rPr>
            </w:pPr>
          </w:p>
        </w:tc>
        <w:tc>
          <w:tcPr>
            <w:tcW w:w="502" w:type="dxa"/>
            <w:vMerge w:val="continue"/>
            <w:vAlign w:val="center"/>
          </w:tcPr>
          <w:p>
            <w:pPr>
              <w:jc w:val="center"/>
              <w:rPr>
                <w:szCs w:val="18"/>
              </w:rPr>
            </w:pPr>
          </w:p>
        </w:tc>
        <w:tc>
          <w:tcPr>
            <w:tcW w:w="7194" w:type="dxa"/>
            <w:gridSpan w:val="3"/>
            <w:vAlign w:val="center"/>
          </w:tcPr>
          <w:p>
            <w:pPr>
              <w:rPr>
                <w:szCs w:val="18"/>
              </w:rPr>
            </w:pPr>
            <w:r>
              <w:rPr>
                <w:rFonts w:hint="eastAsia"/>
                <w:szCs w:val="18"/>
              </w:rPr>
              <w:t>3.负责组织实施董事会决议、公司年度经营计划和投资方案。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vAlign w:val="center"/>
          </w:tcPr>
          <w:p>
            <w:pPr>
              <w:jc w:val="center"/>
              <w:rPr>
                <w:szCs w:val="18"/>
              </w:rPr>
            </w:pPr>
          </w:p>
        </w:tc>
        <w:tc>
          <w:tcPr>
            <w:tcW w:w="502" w:type="dxa"/>
            <w:vMerge w:val="continue"/>
            <w:vAlign w:val="center"/>
          </w:tcPr>
          <w:p>
            <w:pPr>
              <w:jc w:val="center"/>
              <w:rPr>
                <w:szCs w:val="18"/>
              </w:rPr>
            </w:pPr>
          </w:p>
        </w:tc>
        <w:tc>
          <w:tcPr>
            <w:tcW w:w="7194" w:type="dxa"/>
            <w:gridSpan w:val="3"/>
            <w:vAlign w:val="center"/>
          </w:tcPr>
          <w:p>
            <w:pPr>
              <w:rPr>
                <w:szCs w:val="18"/>
              </w:rPr>
            </w:pPr>
            <w:r>
              <w:rPr>
                <w:rFonts w:hint="eastAsia"/>
                <w:szCs w:val="18"/>
              </w:rPr>
              <w:t>4.负责将发展战略、年度经营计划和投资方案的实施效果向董事会报告。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restart"/>
            <w:vAlign w:val="center"/>
          </w:tcPr>
          <w:p>
            <w:pPr>
              <w:jc w:val="center"/>
              <w:rPr>
                <w:szCs w:val="18"/>
              </w:rPr>
            </w:pPr>
            <w:r>
              <w:rPr>
                <w:rFonts w:hint="eastAsia"/>
                <w:szCs w:val="18"/>
              </w:rPr>
              <w:t>生产经营</w:t>
            </w:r>
          </w:p>
        </w:tc>
        <w:tc>
          <w:tcPr>
            <w:tcW w:w="7696" w:type="dxa"/>
            <w:gridSpan w:val="4"/>
            <w:vAlign w:val="center"/>
          </w:tcPr>
          <w:p>
            <w:pPr>
              <w:jc w:val="left"/>
              <w:rPr>
                <w:szCs w:val="18"/>
              </w:rPr>
            </w:pPr>
            <w:r>
              <w:rPr>
                <w:rFonts w:hint="eastAsia"/>
                <w:szCs w:val="18"/>
              </w:rPr>
              <w:t>职责描述：主持公司经营管理全面工作。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vAlign w:val="center"/>
          </w:tcPr>
          <w:p>
            <w:pPr>
              <w:jc w:val="center"/>
              <w:rPr>
                <w:szCs w:val="18"/>
              </w:rPr>
            </w:pPr>
          </w:p>
        </w:tc>
        <w:tc>
          <w:tcPr>
            <w:tcW w:w="502" w:type="dxa"/>
            <w:vMerge w:val="restart"/>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vAlign w:val="center"/>
          </w:tcPr>
          <w:p>
            <w:pPr>
              <w:rPr>
                <w:szCs w:val="18"/>
              </w:rPr>
            </w:pPr>
            <w:r>
              <w:rPr>
                <w:rFonts w:hint="eastAsia"/>
                <w:szCs w:val="18"/>
              </w:rPr>
              <w:t>1.负责主持公司的生产经营工作，对公司安全生产工作全面负责，向董事会报告。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vAlign w:val="center"/>
          </w:tcPr>
          <w:p>
            <w:pPr>
              <w:jc w:val="center"/>
              <w:rPr>
                <w:szCs w:val="18"/>
              </w:rPr>
            </w:pPr>
          </w:p>
        </w:tc>
        <w:tc>
          <w:tcPr>
            <w:tcW w:w="502" w:type="dxa"/>
            <w:vMerge w:val="continue"/>
            <w:vAlign w:val="center"/>
          </w:tcPr>
          <w:p>
            <w:pPr>
              <w:jc w:val="center"/>
              <w:rPr>
                <w:szCs w:val="18"/>
              </w:rPr>
            </w:pPr>
          </w:p>
        </w:tc>
        <w:tc>
          <w:tcPr>
            <w:tcW w:w="7194" w:type="dxa"/>
            <w:gridSpan w:val="3"/>
            <w:vAlign w:val="center"/>
          </w:tcPr>
          <w:p>
            <w:pPr>
              <w:rPr>
                <w:szCs w:val="18"/>
              </w:rPr>
            </w:pPr>
            <w:r>
              <w:rPr>
                <w:rFonts w:hint="eastAsia"/>
                <w:szCs w:val="18"/>
              </w:rPr>
              <w:t>2.负责依据公司授权办法，授权其他高级管理人员、内设部门负责人从事公司经营管理活动。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vAlign w:val="center"/>
          </w:tcPr>
          <w:p>
            <w:pPr>
              <w:jc w:val="center"/>
              <w:rPr>
                <w:szCs w:val="18"/>
              </w:rPr>
            </w:pPr>
          </w:p>
        </w:tc>
        <w:tc>
          <w:tcPr>
            <w:tcW w:w="502" w:type="dxa"/>
            <w:vMerge w:val="continue"/>
            <w:vAlign w:val="center"/>
          </w:tcPr>
          <w:p>
            <w:pPr>
              <w:jc w:val="center"/>
              <w:rPr>
                <w:szCs w:val="18"/>
              </w:rPr>
            </w:pPr>
          </w:p>
        </w:tc>
        <w:tc>
          <w:tcPr>
            <w:tcW w:w="7194" w:type="dxa"/>
            <w:gridSpan w:val="3"/>
            <w:vAlign w:val="center"/>
          </w:tcPr>
          <w:p>
            <w:pPr>
              <w:rPr>
                <w:szCs w:val="18"/>
              </w:rPr>
            </w:pPr>
            <w:r>
              <w:rPr>
                <w:rFonts w:hint="eastAsia"/>
                <w:szCs w:val="18"/>
              </w:rPr>
              <w:t>3.协助负责董事会相关工作，召集、主持经理办公会。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restart"/>
            <w:vAlign w:val="center"/>
          </w:tcPr>
          <w:p>
            <w:pPr>
              <w:jc w:val="center"/>
              <w:rPr>
                <w:szCs w:val="18"/>
              </w:rPr>
            </w:pPr>
            <w:r>
              <w:rPr>
                <w:rFonts w:hint="eastAsia"/>
                <w:szCs w:val="18"/>
              </w:rPr>
              <w:t>组织架构</w:t>
            </w:r>
          </w:p>
        </w:tc>
        <w:tc>
          <w:tcPr>
            <w:tcW w:w="7696" w:type="dxa"/>
            <w:gridSpan w:val="4"/>
            <w:vAlign w:val="center"/>
          </w:tcPr>
          <w:p>
            <w:pPr>
              <w:rPr>
                <w:szCs w:val="18"/>
              </w:rPr>
            </w:pPr>
            <w:r>
              <w:rPr>
                <w:rFonts w:hint="eastAsia"/>
                <w:szCs w:val="18"/>
              </w:rPr>
              <w:t>职责描述：建立健全公司统一、高效的组织体系和工作体系。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310" w:type="dxa"/>
            <w:gridSpan w:val="2"/>
            <w:vMerge w:val="continue"/>
            <w:vAlign w:val="center"/>
          </w:tcPr>
          <w:p>
            <w:pPr>
              <w:jc w:val="center"/>
              <w:rPr>
                <w:szCs w:val="18"/>
              </w:rPr>
            </w:pPr>
          </w:p>
        </w:tc>
        <w:tc>
          <w:tcPr>
            <w:tcW w:w="502" w:type="dxa"/>
            <w:vMerge w:val="restart"/>
            <w:vAlign w:val="center"/>
          </w:tcPr>
          <w:p>
            <w:pPr>
              <w:jc w:val="center"/>
              <w:rPr>
                <w:szCs w:val="18"/>
              </w:rPr>
            </w:pPr>
            <w:r>
              <w:rPr>
                <w:rFonts w:hint="eastAsia"/>
                <w:szCs w:val="18"/>
              </w:rPr>
              <w:t>工作任务</w:t>
            </w:r>
          </w:p>
        </w:tc>
        <w:tc>
          <w:tcPr>
            <w:tcW w:w="7194" w:type="dxa"/>
            <w:gridSpan w:val="3"/>
            <w:vAlign w:val="center"/>
          </w:tcPr>
          <w:p>
            <w:pPr>
              <w:rPr>
                <w:szCs w:val="18"/>
              </w:rPr>
            </w:pPr>
            <w:r>
              <w:rPr>
                <w:rFonts w:hint="eastAsia"/>
                <w:szCs w:val="18"/>
              </w:rPr>
              <w:t>1.决定聘任或者解聘除应由董事会聘任或解聘以外的经营管理人员。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310" w:type="dxa"/>
            <w:gridSpan w:val="2"/>
            <w:vMerge w:val="continue"/>
            <w:vAlign w:val="center"/>
          </w:tcPr>
          <w:p>
            <w:pPr>
              <w:jc w:val="center"/>
              <w:rPr>
                <w:szCs w:val="18"/>
              </w:rPr>
            </w:pPr>
          </w:p>
        </w:tc>
        <w:tc>
          <w:tcPr>
            <w:tcW w:w="502" w:type="dxa"/>
            <w:vMerge w:val="continue"/>
            <w:vAlign w:val="center"/>
          </w:tcPr>
          <w:p>
            <w:pPr>
              <w:jc w:val="center"/>
              <w:rPr>
                <w:szCs w:val="18"/>
              </w:rPr>
            </w:pPr>
          </w:p>
        </w:tc>
        <w:tc>
          <w:tcPr>
            <w:tcW w:w="7194" w:type="dxa"/>
            <w:gridSpan w:val="3"/>
            <w:vAlign w:val="center"/>
          </w:tcPr>
          <w:p>
            <w:pPr>
              <w:rPr>
                <w:szCs w:val="18"/>
              </w:rPr>
            </w:pPr>
            <w:r>
              <w:rPr>
                <w:rFonts w:hint="eastAsia"/>
                <w:szCs w:val="18"/>
              </w:rPr>
              <w:t>2.主持、推动关键管理流程和规章制度，及时进行组织和流程的优化调整。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restart"/>
            <w:vAlign w:val="center"/>
          </w:tcPr>
          <w:p>
            <w:pPr>
              <w:jc w:val="center"/>
              <w:rPr>
                <w:szCs w:val="18"/>
              </w:rPr>
            </w:pPr>
            <w:r>
              <w:rPr>
                <w:rFonts w:hint="eastAsia"/>
                <w:szCs w:val="18"/>
              </w:rPr>
              <w:t>其他职责</w:t>
            </w:r>
          </w:p>
        </w:tc>
        <w:tc>
          <w:tcPr>
            <w:tcW w:w="7696" w:type="dxa"/>
            <w:gridSpan w:val="4"/>
            <w:vAlign w:val="center"/>
          </w:tcPr>
          <w:p>
            <w:pPr>
              <w:rPr>
                <w:szCs w:val="18"/>
              </w:rPr>
            </w:pPr>
            <w:r>
              <w:rPr>
                <w:rFonts w:hint="eastAsia"/>
                <w:szCs w:val="18"/>
              </w:rPr>
              <w:t>职责描述：接受公司党组织监督，承担公司《章程》和董事会授权的其他管理工作。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vAlign w:val="center"/>
          </w:tcPr>
          <w:p>
            <w:pPr>
              <w:jc w:val="center"/>
              <w:rPr>
                <w:szCs w:val="18"/>
              </w:rPr>
            </w:pPr>
          </w:p>
        </w:tc>
        <w:tc>
          <w:tcPr>
            <w:tcW w:w="502" w:type="dxa"/>
            <w:vMerge w:val="restart"/>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vAlign w:val="center"/>
          </w:tcPr>
          <w:p>
            <w:pPr>
              <w:rPr>
                <w:szCs w:val="18"/>
              </w:rPr>
            </w:pPr>
            <w:r>
              <w:rPr>
                <w:rFonts w:hint="eastAsia"/>
                <w:szCs w:val="18"/>
              </w:rPr>
              <w:t>1.接受公司党组织监督，协助公司党组织共同抓好公司党的建设、支持群团组织开展工作。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0" w:type="dxa"/>
            <w:gridSpan w:val="2"/>
            <w:vMerge w:val="continue"/>
            <w:vAlign w:val="center"/>
          </w:tcPr>
          <w:p>
            <w:pPr>
              <w:jc w:val="center"/>
              <w:rPr>
                <w:szCs w:val="18"/>
              </w:rPr>
            </w:pPr>
          </w:p>
        </w:tc>
        <w:tc>
          <w:tcPr>
            <w:tcW w:w="502" w:type="dxa"/>
            <w:vMerge w:val="continue"/>
            <w:vAlign w:val="center"/>
          </w:tcPr>
          <w:p>
            <w:pPr>
              <w:jc w:val="center"/>
              <w:rPr>
                <w:szCs w:val="18"/>
              </w:rPr>
            </w:pPr>
          </w:p>
        </w:tc>
        <w:tc>
          <w:tcPr>
            <w:tcW w:w="7194" w:type="dxa"/>
            <w:gridSpan w:val="3"/>
            <w:vAlign w:val="center"/>
          </w:tcPr>
          <w:p>
            <w:pPr>
              <w:rPr>
                <w:szCs w:val="18"/>
              </w:rPr>
            </w:pPr>
            <w:r>
              <w:rPr>
                <w:rFonts w:hint="eastAsia"/>
                <w:szCs w:val="18"/>
              </w:rPr>
              <w:t>2.承担公司《章程》和董事会授权的其他管理工作。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themeFill="background1" w:themeFillShade="A6"/>
            <w:vAlign w:val="center"/>
          </w:tcPr>
          <w:p>
            <w:pPr>
              <w:rPr>
                <w:b/>
              </w:rPr>
            </w:pPr>
            <w:r>
              <w:rPr>
                <w:b/>
              </w:rPr>
              <w:t>任职</w:t>
            </w:r>
            <w:r>
              <w:rPr>
                <w:rFonts w:hint="eastAsia"/>
                <w:b/>
              </w:rPr>
              <w:t>条件</w:t>
            </w:r>
            <w:r>
              <w:rPr>
                <w:b/>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65" w:type="dxa"/>
            <w:vMerge w:val="restart"/>
            <w:vAlign w:val="center"/>
          </w:tcPr>
          <w:p>
            <w:pPr>
              <w:jc w:val="center"/>
            </w:pPr>
            <w:r>
              <w:t>教育</w:t>
            </w:r>
          </w:p>
          <w:p>
            <w:pPr>
              <w:jc w:val="center"/>
            </w:pPr>
            <w:r>
              <w:t>背景</w:t>
            </w:r>
          </w:p>
        </w:tc>
        <w:tc>
          <w:tcPr>
            <w:tcW w:w="1247" w:type="dxa"/>
            <w:gridSpan w:val="2"/>
            <w:vAlign w:val="center"/>
          </w:tcPr>
          <w:p>
            <w:pPr>
              <w:jc w:val="center"/>
            </w:pPr>
            <w:r>
              <w:t>学历</w:t>
            </w:r>
          </w:p>
        </w:tc>
        <w:tc>
          <w:tcPr>
            <w:tcW w:w="7194" w:type="dxa"/>
            <w:gridSpan w:val="3"/>
            <w:vAlign w:val="center"/>
          </w:tcPr>
          <w:p>
            <w:pPr>
              <w:adjustRightInd w:val="0"/>
              <w:snapToGrid w:val="0"/>
              <w:ind w:left="2" w:right="-61" w:rightChars="-29" w:hanging="106"/>
              <w:rPr>
                <w:szCs w:val="21"/>
              </w:rPr>
            </w:pPr>
            <w:r>
              <w:rPr>
                <w:szCs w:val="21"/>
              </w:rPr>
              <w:t>（ ）高中/中专/技校 （ ）大学专科（√）大学本科（√）硕士及以上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65" w:type="dxa"/>
            <w:vMerge w:val="continue"/>
            <w:shd w:val="clear" w:color="auto" w:fill="E0E0E0"/>
            <w:vAlign w:val="center"/>
          </w:tcPr>
          <w:p>
            <w:pPr>
              <w:jc w:val="center"/>
            </w:pPr>
          </w:p>
        </w:tc>
        <w:tc>
          <w:tcPr>
            <w:tcW w:w="1247" w:type="dxa"/>
            <w:gridSpan w:val="2"/>
            <w:vAlign w:val="center"/>
          </w:tcPr>
          <w:p>
            <w:pPr>
              <w:jc w:val="center"/>
            </w:pPr>
            <w:r>
              <w:t>专业</w:t>
            </w:r>
          </w:p>
        </w:tc>
        <w:tc>
          <w:tcPr>
            <w:tcW w:w="7194" w:type="dxa"/>
            <w:gridSpan w:val="3"/>
            <w:vAlign w:val="center"/>
          </w:tcPr>
          <w:p>
            <w:r>
              <w:rPr>
                <w:rFonts w:hint="eastAsia"/>
              </w:rPr>
              <w:t>金融、财务、经济、营销、成本、法律</w:t>
            </w:r>
            <w:r>
              <w:t>等相关专业。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1310" w:type="dxa"/>
            <w:gridSpan w:val="2"/>
            <w:vMerge w:val="restart"/>
            <w:shd w:val="clear" w:color="auto" w:fill="auto"/>
            <w:vAlign w:val="center"/>
          </w:tcPr>
          <w:p>
            <w:pPr>
              <w:jc w:val="center"/>
            </w:pPr>
            <w:r>
              <w:t>工作经验</w:t>
            </w:r>
          </w:p>
        </w:tc>
        <w:tc>
          <w:tcPr>
            <w:tcW w:w="502" w:type="dxa"/>
            <w:vAlign w:val="center"/>
          </w:tcPr>
          <w:p>
            <w:pPr>
              <w:jc w:val="center"/>
            </w:pPr>
            <w:r>
              <w:t>工作</w:t>
            </w:r>
          </w:p>
          <w:p>
            <w:pPr>
              <w:jc w:val="center"/>
            </w:pPr>
            <w:r>
              <w:t>年限</w:t>
            </w:r>
          </w:p>
        </w:tc>
        <w:tc>
          <w:tcPr>
            <w:tcW w:w="7194" w:type="dxa"/>
            <w:gridSpan w:val="3"/>
            <w:vAlign w:val="center"/>
          </w:tcPr>
          <w:p>
            <w:pPr>
              <w:pStyle w:val="2"/>
            </w:pPr>
            <w:r>
              <w:rPr>
                <w:rFonts w:hint="eastAsia" w:ascii="Times New Roman" w:hAnsi="Times New Roman"/>
              </w:rPr>
              <w:t>具备5年以上房地产开发、工程建设、区域开发相关领域工作经验或者相关的经济、金融、法律工作经历。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310" w:type="dxa"/>
            <w:gridSpan w:val="2"/>
            <w:vMerge w:val="continue"/>
            <w:shd w:val="clear" w:color="auto" w:fill="auto"/>
            <w:vAlign w:val="center"/>
          </w:tcPr>
          <w:p>
            <w:pPr>
              <w:jc w:val="center"/>
              <w:rPr>
                <w:b/>
              </w:rPr>
            </w:pPr>
          </w:p>
        </w:tc>
        <w:tc>
          <w:tcPr>
            <w:tcW w:w="502" w:type="dxa"/>
            <w:vAlign w:val="center"/>
          </w:tcPr>
          <w:p>
            <w:pPr>
              <w:jc w:val="center"/>
            </w:pPr>
            <w:r>
              <w:t>岗位</w:t>
            </w:r>
          </w:p>
          <w:p>
            <w:pPr>
              <w:jc w:val="center"/>
            </w:pPr>
            <w:r>
              <w:t>经验</w:t>
            </w:r>
          </w:p>
        </w:tc>
        <w:tc>
          <w:tcPr>
            <w:tcW w:w="7194" w:type="dxa"/>
            <w:gridSpan w:val="3"/>
            <w:vAlign w:val="center"/>
          </w:tcPr>
          <w:p>
            <w:pPr>
              <w:pStyle w:val="2"/>
              <w:rPr>
                <w:rFonts w:ascii="Times New Roman" w:hAnsi="Times New Roman"/>
              </w:rPr>
            </w:pPr>
            <w:r>
              <w:rPr>
                <w:rFonts w:hint="eastAsia" w:ascii="Times New Roman" w:hAnsi="Times New Roman"/>
              </w:rPr>
              <w:t>中央企业二级子公司中层正职（含相当职务）、市（省）管国有企业或规模相当的其他大型企业内设部室或一级子公司中层正职；中央企业二级子公司中层副职（含相当职务）、市（省）管国有企业或规模相当的其他大型企业内设部室或一级子公司中层副职2年以上；同类型规模相当的其他所有制企业正职或副职2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06" w:type="dxa"/>
            <w:gridSpan w:val="6"/>
            <w:shd w:val="clear" w:color="auto" w:fill="A4A4A4" w:themeFill="background1" w:themeFillShade="A5"/>
            <w:vAlign w:val="center"/>
          </w:tcPr>
          <w:p>
            <w:pPr>
              <w:rPr>
                <w:b/>
              </w:rPr>
            </w:pPr>
            <w:r>
              <w:rPr>
                <w:rFonts w:hint="eastAsia"/>
                <w:b/>
              </w:rPr>
              <w:t>履职要求：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812" w:type="dxa"/>
            <w:gridSpan w:val="3"/>
            <w:shd w:val="clear" w:color="auto" w:fill="auto"/>
            <w:vAlign w:val="center"/>
          </w:tcPr>
          <w:p>
            <w:pPr>
              <w:jc w:val="center"/>
            </w:pPr>
            <w:r>
              <w:t>专业知识</w:t>
            </w:r>
          </w:p>
        </w:tc>
        <w:tc>
          <w:tcPr>
            <w:tcW w:w="7194" w:type="dxa"/>
            <w:gridSpan w:val="3"/>
            <w:vAlign w:val="center"/>
          </w:tcPr>
          <w:p>
            <w:r>
              <w:rPr>
                <w:rFonts w:hint="eastAsia"/>
              </w:rPr>
              <w:t>1.</w:t>
            </w:r>
            <w:r>
              <w:t>熟悉国家宏观政策、法律知识，全面了解本行业国内外</w:t>
            </w:r>
            <w:r>
              <w:rPr>
                <w:rFonts w:hint="eastAsia"/>
              </w:rPr>
              <w:t>市场</w:t>
            </w:r>
            <w:r>
              <w:t>动态。</w:t>
            </w:r>
          </w:p>
          <w:p>
            <w:r>
              <w:rPr>
                <w:rFonts w:hint="eastAsia"/>
              </w:rPr>
              <w:t>2.</w:t>
            </w:r>
            <w:r>
              <w:t>熟悉</w:t>
            </w:r>
            <w:r>
              <w:rPr>
                <w:rFonts w:hint="eastAsia"/>
              </w:rPr>
              <w:t>房地产企业</w:t>
            </w:r>
            <w:r>
              <w:t>的组织运作模式。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2" w:type="dxa"/>
            <w:gridSpan w:val="3"/>
            <w:shd w:val="clear" w:color="auto" w:fill="auto"/>
            <w:vAlign w:val="center"/>
          </w:tcPr>
          <w:p>
            <w:pPr>
              <w:jc w:val="center"/>
            </w:pPr>
            <w:r>
              <w:t>专业技能</w:t>
            </w:r>
          </w:p>
        </w:tc>
        <w:tc>
          <w:tcPr>
            <w:tcW w:w="7194" w:type="dxa"/>
            <w:gridSpan w:val="3"/>
            <w:vAlign w:val="center"/>
          </w:tcPr>
          <w:p>
            <w:r>
              <w:rPr>
                <w:rFonts w:hint="eastAsia"/>
              </w:rPr>
              <w:t>1.</w:t>
            </w:r>
            <w:r>
              <w:t>掌握企业经营管理决策的方法工具。</w:t>
            </w:r>
          </w:p>
          <w:p>
            <w:r>
              <w:rPr>
                <w:rFonts w:hint="eastAsia"/>
              </w:rPr>
              <w:t>2.</w:t>
            </w:r>
            <w:r>
              <w:t>掌握</w:t>
            </w:r>
            <w:r>
              <w:rPr>
                <w:rFonts w:hint="eastAsia"/>
              </w:rPr>
              <w:t>房地产</w:t>
            </w:r>
            <w:r>
              <w:t>企业的管理运行机制和资本市场运作方式。</w:t>
            </w:r>
          </w:p>
          <w:p>
            <w:r>
              <w:rPr>
                <w:rFonts w:hint="eastAsia"/>
              </w:rPr>
              <w:t>3.</w:t>
            </w:r>
            <w:r>
              <w:t>掌握调查研究与行业分析的方法工具。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2" w:type="dxa"/>
            <w:gridSpan w:val="3"/>
            <w:shd w:val="clear" w:color="auto" w:fill="auto"/>
            <w:vAlign w:val="center"/>
          </w:tcPr>
          <w:p>
            <w:pPr>
              <w:jc w:val="center"/>
            </w:pPr>
            <w:r>
              <w:t>能力素质</w:t>
            </w:r>
          </w:p>
        </w:tc>
        <w:tc>
          <w:tcPr>
            <w:tcW w:w="7194" w:type="dxa"/>
            <w:gridSpan w:val="3"/>
            <w:vAlign w:val="center"/>
          </w:tcPr>
          <w:p>
            <w:r>
              <w:rPr>
                <w:rFonts w:hint="eastAsia"/>
              </w:rPr>
              <w:t>1.</w:t>
            </w:r>
            <w:r>
              <w:t>具有较强的政治素质。</w:t>
            </w:r>
          </w:p>
          <w:p>
            <w:r>
              <w:rPr>
                <w:rFonts w:hint="eastAsia"/>
              </w:rPr>
              <w:t>2.</w:t>
            </w:r>
            <w:r>
              <w:t>具有较强的担当与奋斗精神。</w:t>
            </w:r>
          </w:p>
          <w:p>
            <w:r>
              <w:rPr>
                <w:rFonts w:hint="eastAsia"/>
              </w:rPr>
              <w:t>3.</w:t>
            </w:r>
            <w:r>
              <w:t>具有较强的大局意识与市场意识。</w:t>
            </w:r>
          </w:p>
          <w:p>
            <w:r>
              <w:rPr>
                <w:rFonts w:hint="eastAsia"/>
              </w:rPr>
              <w:t>4.</w:t>
            </w:r>
            <w:r>
              <w:t>具有较强的战略洞察能力与判断决策能力。</w:t>
            </w:r>
          </w:p>
          <w:p>
            <w:r>
              <w:rPr>
                <w:rFonts w:hint="eastAsia"/>
              </w:rPr>
              <w:t>5.</w:t>
            </w:r>
            <w:r>
              <w:t>具有较强的组织协调与开拓</w:t>
            </w:r>
            <w:r>
              <w:rPr>
                <w:rFonts w:hint="eastAsia"/>
              </w:rPr>
              <w:t>创新</w:t>
            </w:r>
            <w:r>
              <w:t>能力。</w:t>
            </w:r>
          </w:p>
          <w:p>
            <w:r>
              <w:rPr>
                <w:rFonts w:hint="eastAsia"/>
              </w:rPr>
              <w:t>6.</w:t>
            </w:r>
            <w:r>
              <w:t>具有较强的风险防控与危机处理能力。</w:t>
            </w:r>
          </w:p>
          <w:p>
            <w:r>
              <w:rPr>
                <w:rFonts w:hint="eastAsia"/>
              </w:rPr>
              <w:t>7.</w:t>
            </w:r>
            <w:r>
              <w:t>具有开阔的国际视野。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2" w:type="dxa"/>
            <w:gridSpan w:val="3"/>
            <w:shd w:val="clear" w:color="auto" w:fill="auto"/>
            <w:vAlign w:val="center"/>
          </w:tcPr>
          <w:p>
            <w:pPr>
              <w:jc w:val="center"/>
            </w:pPr>
            <w:r>
              <w:t>其他</w:t>
            </w:r>
          </w:p>
        </w:tc>
        <w:tc>
          <w:tcPr>
            <w:tcW w:w="7194" w:type="dxa"/>
            <w:gridSpan w:val="3"/>
            <w:vAlign w:val="center"/>
          </w:tcPr>
          <w:p>
            <w:r>
              <w:t>中共党员。</w:t>
            </w:r>
          </w:p>
        </w:tc>
      </w:tr>
    </w:tbl>
    <w:p>
      <w:pPr>
        <w:rPr>
          <w:rFonts w:ascii="宋体" w:hAnsi="宋体"/>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QyZWEyMmFkODU5ZDRlN2JlZjU4M2ZiY2JlNzhlM2IifQ=="/>
  </w:docVars>
  <w:rsids>
    <w:rsidRoot w:val="006E1FF6"/>
    <w:rsid w:val="00017973"/>
    <w:rsid w:val="00020DE0"/>
    <w:rsid w:val="000218D4"/>
    <w:rsid w:val="00021AC0"/>
    <w:rsid w:val="000246A2"/>
    <w:rsid w:val="000251BF"/>
    <w:rsid w:val="00030CFA"/>
    <w:rsid w:val="0003511D"/>
    <w:rsid w:val="00037370"/>
    <w:rsid w:val="00040F29"/>
    <w:rsid w:val="00043DC5"/>
    <w:rsid w:val="00050DD5"/>
    <w:rsid w:val="000528AA"/>
    <w:rsid w:val="000529B5"/>
    <w:rsid w:val="00054DC7"/>
    <w:rsid w:val="000551B3"/>
    <w:rsid w:val="00060E0C"/>
    <w:rsid w:val="00063D68"/>
    <w:rsid w:val="000676E1"/>
    <w:rsid w:val="00070AA7"/>
    <w:rsid w:val="00070B59"/>
    <w:rsid w:val="000710A0"/>
    <w:rsid w:val="000713D1"/>
    <w:rsid w:val="00072079"/>
    <w:rsid w:val="00072200"/>
    <w:rsid w:val="0007471D"/>
    <w:rsid w:val="0007526E"/>
    <w:rsid w:val="00076A61"/>
    <w:rsid w:val="00076C68"/>
    <w:rsid w:val="000819E0"/>
    <w:rsid w:val="00084AB7"/>
    <w:rsid w:val="00084EC9"/>
    <w:rsid w:val="00085CA0"/>
    <w:rsid w:val="00087F79"/>
    <w:rsid w:val="00094A7B"/>
    <w:rsid w:val="00094BA0"/>
    <w:rsid w:val="00096D46"/>
    <w:rsid w:val="000A03A6"/>
    <w:rsid w:val="000A45B5"/>
    <w:rsid w:val="000C3C41"/>
    <w:rsid w:val="000C64ED"/>
    <w:rsid w:val="000D4B48"/>
    <w:rsid w:val="000E0691"/>
    <w:rsid w:val="000E2AC9"/>
    <w:rsid w:val="000E456E"/>
    <w:rsid w:val="000F4551"/>
    <w:rsid w:val="000F66C2"/>
    <w:rsid w:val="000F6B2F"/>
    <w:rsid w:val="000F7873"/>
    <w:rsid w:val="00113754"/>
    <w:rsid w:val="00116C48"/>
    <w:rsid w:val="0012091B"/>
    <w:rsid w:val="001252BF"/>
    <w:rsid w:val="00127251"/>
    <w:rsid w:val="00130857"/>
    <w:rsid w:val="001313B8"/>
    <w:rsid w:val="00133BBC"/>
    <w:rsid w:val="001365A5"/>
    <w:rsid w:val="001378B6"/>
    <w:rsid w:val="001453F1"/>
    <w:rsid w:val="0014792A"/>
    <w:rsid w:val="00153A82"/>
    <w:rsid w:val="00154632"/>
    <w:rsid w:val="00155359"/>
    <w:rsid w:val="0016305C"/>
    <w:rsid w:val="00165169"/>
    <w:rsid w:val="00167169"/>
    <w:rsid w:val="00173F90"/>
    <w:rsid w:val="00177CB7"/>
    <w:rsid w:val="00191795"/>
    <w:rsid w:val="001929BC"/>
    <w:rsid w:val="0019669E"/>
    <w:rsid w:val="001968BC"/>
    <w:rsid w:val="001A3808"/>
    <w:rsid w:val="001A6B29"/>
    <w:rsid w:val="001A6EE7"/>
    <w:rsid w:val="001B3F4B"/>
    <w:rsid w:val="001B6124"/>
    <w:rsid w:val="001C2E7C"/>
    <w:rsid w:val="001C4AC3"/>
    <w:rsid w:val="001C6947"/>
    <w:rsid w:val="001C7948"/>
    <w:rsid w:val="001D2F4A"/>
    <w:rsid w:val="001D3CC3"/>
    <w:rsid w:val="001D53B9"/>
    <w:rsid w:val="001D70CD"/>
    <w:rsid w:val="001D76C0"/>
    <w:rsid w:val="001E1A08"/>
    <w:rsid w:val="001E316B"/>
    <w:rsid w:val="001E3243"/>
    <w:rsid w:val="001E3AB6"/>
    <w:rsid w:val="001E72EF"/>
    <w:rsid w:val="001F1EFA"/>
    <w:rsid w:val="0020173A"/>
    <w:rsid w:val="00204507"/>
    <w:rsid w:val="00212EE9"/>
    <w:rsid w:val="002204C0"/>
    <w:rsid w:val="00222A74"/>
    <w:rsid w:val="0022666C"/>
    <w:rsid w:val="0023351D"/>
    <w:rsid w:val="00234B0F"/>
    <w:rsid w:val="00235DE3"/>
    <w:rsid w:val="0025117B"/>
    <w:rsid w:val="00253240"/>
    <w:rsid w:val="00264971"/>
    <w:rsid w:val="00264CA0"/>
    <w:rsid w:val="00267467"/>
    <w:rsid w:val="00272DD1"/>
    <w:rsid w:val="00291E1D"/>
    <w:rsid w:val="002964B5"/>
    <w:rsid w:val="002A1E8E"/>
    <w:rsid w:val="002A43FC"/>
    <w:rsid w:val="002A5794"/>
    <w:rsid w:val="002A60BA"/>
    <w:rsid w:val="002B4246"/>
    <w:rsid w:val="002B4AED"/>
    <w:rsid w:val="002B5DDF"/>
    <w:rsid w:val="002C2378"/>
    <w:rsid w:val="002C4908"/>
    <w:rsid w:val="002C4CD1"/>
    <w:rsid w:val="002C50E6"/>
    <w:rsid w:val="002D34A7"/>
    <w:rsid w:val="002D7BE0"/>
    <w:rsid w:val="002E629D"/>
    <w:rsid w:val="002F4A13"/>
    <w:rsid w:val="002F79C0"/>
    <w:rsid w:val="003052EF"/>
    <w:rsid w:val="00305FA7"/>
    <w:rsid w:val="00322325"/>
    <w:rsid w:val="0032440D"/>
    <w:rsid w:val="0033644D"/>
    <w:rsid w:val="00346C82"/>
    <w:rsid w:val="003474BD"/>
    <w:rsid w:val="00352AEC"/>
    <w:rsid w:val="003560E3"/>
    <w:rsid w:val="003565D2"/>
    <w:rsid w:val="00366518"/>
    <w:rsid w:val="00366D7F"/>
    <w:rsid w:val="00373DF8"/>
    <w:rsid w:val="00374EFB"/>
    <w:rsid w:val="0038079F"/>
    <w:rsid w:val="003963FA"/>
    <w:rsid w:val="003A110D"/>
    <w:rsid w:val="003A6C50"/>
    <w:rsid w:val="003C4F5F"/>
    <w:rsid w:val="003C5654"/>
    <w:rsid w:val="003D0B83"/>
    <w:rsid w:val="003D182E"/>
    <w:rsid w:val="003D67CF"/>
    <w:rsid w:val="003E09E1"/>
    <w:rsid w:val="003E29E8"/>
    <w:rsid w:val="003F1AB7"/>
    <w:rsid w:val="003F21B5"/>
    <w:rsid w:val="003F71DD"/>
    <w:rsid w:val="00403C91"/>
    <w:rsid w:val="00407EDE"/>
    <w:rsid w:val="004149BD"/>
    <w:rsid w:val="00416BCE"/>
    <w:rsid w:val="00421257"/>
    <w:rsid w:val="00421339"/>
    <w:rsid w:val="00423628"/>
    <w:rsid w:val="004328AF"/>
    <w:rsid w:val="004361FB"/>
    <w:rsid w:val="00440E58"/>
    <w:rsid w:val="00445BCA"/>
    <w:rsid w:val="00447A3C"/>
    <w:rsid w:val="00453562"/>
    <w:rsid w:val="00453FAC"/>
    <w:rsid w:val="00454440"/>
    <w:rsid w:val="00457296"/>
    <w:rsid w:val="00463484"/>
    <w:rsid w:val="00465CB9"/>
    <w:rsid w:val="004711CC"/>
    <w:rsid w:val="004727AA"/>
    <w:rsid w:val="004734FD"/>
    <w:rsid w:val="004736ED"/>
    <w:rsid w:val="00475CCB"/>
    <w:rsid w:val="00485448"/>
    <w:rsid w:val="004866A3"/>
    <w:rsid w:val="00493DE0"/>
    <w:rsid w:val="00494C72"/>
    <w:rsid w:val="004A175C"/>
    <w:rsid w:val="004A31AC"/>
    <w:rsid w:val="004A7928"/>
    <w:rsid w:val="004B3301"/>
    <w:rsid w:val="004C17A1"/>
    <w:rsid w:val="004D05D7"/>
    <w:rsid w:val="004E07F9"/>
    <w:rsid w:val="004E0C7C"/>
    <w:rsid w:val="004E7B6A"/>
    <w:rsid w:val="004E7E52"/>
    <w:rsid w:val="004F5A54"/>
    <w:rsid w:val="004F71C0"/>
    <w:rsid w:val="00500F3B"/>
    <w:rsid w:val="00501B04"/>
    <w:rsid w:val="00504F7F"/>
    <w:rsid w:val="005128B6"/>
    <w:rsid w:val="005135DE"/>
    <w:rsid w:val="00513D2B"/>
    <w:rsid w:val="005147FB"/>
    <w:rsid w:val="00516A81"/>
    <w:rsid w:val="005201B1"/>
    <w:rsid w:val="005204C8"/>
    <w:rsid w:val="005209E6"/>
    <w:rsid w:val="00530391"/>
    <w:rsid w:val="00530450"/>
    <w:rsid w:val="00531A7F"/>
    <w:rsid w:val="00533248"/>
    <w:rsid w:val="00542306"/>
    <w:rsid w:val="00552313"/>
    <w:rsid w:val="0055584C"/>
    <w:rsid w:val="00557D14"/>
    <w:rsid w:val="00561024"/>
    <w:rsid w:val="00562EB2"/>
    <w:rsid w:val="00564FE8"/>
    <w:rsid w:val="005726AD"/>
    <w:rsid w:val="00577836"/>
    <w:rsid w:val="0058223A"/>
    <w:rsid w:val="0058485B"/>
    <w:rsid w:val="005850B0"/>
    <w:rsid w:val="0059085D"/>
    <w:rsid w:val="00593EC7"/>
    <w:rsid w:val="00596A4E"/>
    <w:rsid w:val="005A7415"/>
    <w:rsid w:val="005B3251"/>
    <w:rsid w:val="005B3EC7"/>
    <w:rsid w:val="005D21AE"/>
    <w:rsid w:val="005D2355"/>
    <w:rsid w:val="005D62D1"/>
    <w:rsid w:val="005E164E"/>
    <w:rsid w:val="005F0308"/>
    <w:rsid w:val="005F10E9"/>
    <w:rsid w:val="005F6271"/>
    <w:rsid w:val="00604898"/>
    <w:rsid w:val="0061653E"/>
    <w:rsid w:val="006218E3"/>
    <w:rsid w:val="006325AC"/>
    <w:rsid w:val="00633702"/>
    <w:rsid w:val="00646D15"/>
    <w:rsid w:val="00654541"/>
    <w:rsid w:val="006710DA"/>
    <w:rsid w:val="006820FA"/>
    <w:rsid w:val="006857C9"/>
    <w:rsid w:val="00687BB0"/>
    <w:rsid w:val="00691631"/>
    <w:rsid w:val="00692E80"/>
    <w:rsid w:val="006939C5"/>
    <w:rsid w:val="00697F17"/>
    <w:rsid w:val="006A0020"/>
    <w:rsid w:val="006B28B1"/>
    <w:rsid w:val="006B30A4"/>
    <w:rsid w:val="006B5861"/>
    <w:rsid w:val="006B58B3"/>
    <w:rsid w:val="006C2EFC"/>
    <w:rsid w:val="006D5949"/>
    <w:rsid w:val="006D5ECB"/>
    <w:rsid w:val="006E1FF6"/>
    <w:rsid w:val="006E2AA4"/>
    <w:rsid w:val="006E2BF8"/>
    <w:rsid w:val="006E6939"/>
    <w:rsid w:val="006F06CA"/>
    <w:rsid w:val="006F42B8"/>
    <w:rsid w:val="006F678D"/>
    <w:rsid w:val="00700FA5"/>
    <w:rsid w:val="00704344"/>
    <w:rsid w:val="00707073"/>
    <w:rsid w:val="00710805"/>
    <w:rsid w:val="00712C8D"/>
    <w:rsid w:val="00713A5E"/>
    <w:rsid w:val="007150D3"/>
    <w:rsid w:val="007160E5"/>
    <w:rsid w:val="007162D1"/>
    <w:rsid w:val="00722706"/>
    <w:rsid w:val="007332A1"/>
    <w:rsid w:val="00733AA8"/>
    <w:rsid w:val="00740AC2"/>
    <w:rsid w:val="00740E55"/>
    <w:rsid w:val="007420E4"/>
    <w:rsid w:val="00743C18"/>
    <w:rsid w:val="00747E28"/>
    <w:rsid w:val="00754C75"/>
    <w:rsid w:val="00763F97"/>
    <w:rsid w:val="007700FD"/>
    <w:rsid w:val="00771200"/>
    <w:rsid w:val="00771228"/>
    <w:rsid w:val="007728E8"/>
    <w:rsid w:val="00775E72"/>
    <w:rsid w:val="007772AC"/>
    <w:rsid w:val="00781707"/>
    <w:rsid w:val="00782B9A"/>
    <w:rsid w:val="007835B7"/>
    <w:rsid w:val="00784C40"/>
    <w:rsid w:val="0079290A"/>
    <w:rsid w:val="007A5CE1"/>
    <w:rsid w:val="007A73C6"/>
    <w:rsid w:val="007B04CE"/>
    <w:rsid w:val="007B1091"/>
    <w:rsid w:val="007C5399"/>
    <w:rsid w:val="007C6687"/>
    <w:rsid w:val="007D0D71"/>
    <w:rsid w:val="007E6060"/>
    <w:rsid w:val="007F2C93"/>
    <w:rsid w:val="007F6C64"/>
    <w:rsid w:val="008008AA"/>
    <w:rsid w:val="00815D92"/>
    <w:rsid w:val="00815EF8"/>
    <w:rsid w:val="008217C1"/>
    <w:rsid w:val="00823DDD"/>
    <w:rsid w:val="00824A55"/>
    <w:rsid w:val="0082770B"/>
    <w:rsid w:val="00835436"/>
    <w:rsid w:val="0084040D"/>
    <w:rsid w:val="008436CF"/>
    <w:rsid w:val="00854016"/>
    <w:rsid w:val="0087048A"/>
    <w:rsid w:val="0087195C"/>
    <w:rsid w:val="00883E31"/>
    <w:rsid w:val="00893640"/>
    <w:rsid w:val="008A3AC7"/>
    <w:rsid w:val="008C2B83"/>
    <w:rsid w:val="008C36CA"/>
    <w:rsid w:val="008C60E4"/>
    <w:rsid w:val="008C6685"/>
    <w:rsid w:val="008C6C9F"/>
    <w:rsid w:val="008C79B5"/>
    <w:rsid w:val="008D35AC"/>
    <w:rsid w:val="008E08AF"/>
    <w:rsid w:val="008F4319"/>
    <w:rsid w:val="00901336"/>
    <w:rsid w:val="00901E18"/>
    <w:rsid w:val="0090287C"/>
    <w:rsid w:val="009049A5"/>
    <w:rsid w:val="00907C05"/>
    <w:rsid w:val="00910153"/>
    <w:rsid w:val="00914325"/>
    <w:rsid w:val="00920CBD"/>
    <w:rsid w:val="00941101"/>
    <w:rsid w:val="009521C4"/>
    <w:rsid w:val="009527C8"/>
    <w:rsid w:val="009613B0"/>
    <w:rsid w:val="009623AD"/>
    <w:rsid w:val="009637CC"/>
    <w:rsid w:val="009703E7"/>
    <w:rsid w:val="00973119"/>
    <w:rsid w:val="00973482"/>
    <w:rsid w:val="00973BEA"/>
    <w:rsid w:val="00973C1E"/>
    <w:rsid w:val="009772BE"/>
    <w:rsid w:val="00985B8D"/>
    <w:rsid w:val="0098651C"/>
    <w:rsid w:val="00991F60"/>
    <w:rsid w:val="00993318"/>
    <w:rsid w:val="00994D0E"/>
    <w:rsid w:val="009977DC"/>
    <w:rsid w:val="009A3E7F"/>
    <w:rsid w:val="009A3FF7"/>
    <w:rsid w:val="009B3355"/>
    <w:rsid w:val="009B459F"/>
    <w:rsid w:val="009B6FD9"/>
    <w:rsid w:val="009C6434"/>
    <w:rsid w:val="009D228F"/>
    <w:rsid w:val="009D5893"/>
    <w:rsid w:val="009E2F6A"/>
    <w:rsid w:val="009E5C1F"/>
    <w:rsid w:val="009E601B"/>
    <w:rsid w:val="009E7119"/>
    <w:rsid w:val="009E76C5"/>
    <w:rsid w:val="009F047F"/>
    <w:rsid w:val="009F3752"/>
    <w:rsid w:val="009F4C94"/>
    <w:rsid w:val="00A03359"/>
    <w:rsid w:val="00A04CDA"/>
    <w:rsid w:val="00A05E30"/>
    <w:rsid w:val="00A1179D"/>
    <w:rsid w:val="00A11B33"/>
    <w:rsid w:val="00A14C7F"/>
    <w:rsid w:val="00A24974"/>
    <w:rsid w:val="00A2744A"/>
    <w:rsid w:val="00A300ED"/>
    <w:rsid w:val="00A3023E"/>
    <w:rsid w:val="00A31EDD"/>
    <w:rsid w:val="00A33EEA"/>
    <w:rsid w:val="00A439F3"/>
    <w:rsid w:val="00A45086"/>
    <w:rsid w:val="00A536DD"/>
    <w:rsid w:val="00A5545B"/>
    <w:rsid w:val="00A64729"/>
    <w:rsid w:val="00A66383"/>
    <w:rsid w:val="00A72BDD"/>
    <w:rsid w:val="00A76A5F"/>
    <w:rsid w:val="00A813DB"/>
    <w:rsid w:val="00A81D4C"/>
    <w:rsid w:val="00A84A4B"/>
    <w:rsid w:val="00A91F43"/>
    <w:rsid w:val="00A96D72"/>
    <w:rsid w:val="00A97808"/>
    <w:rsid w:val="00AB65D2"/>
    <w:rsid w:val="00AC4F5A"/>
    <w:rsid w:val="00AC5B69"/>
    <w:rsid w:val="00AD01FB"/>
    <w:rsid w:val="00AD29CD"/>
    <w:rsid w:val="00AE14E2"/>
    <w:rsid w:val="00AF5808"/>
    <w:rsid w:val="00AF5DF3"/>
    <w:rsid w:val="00AF61EF"/>
    <w:rsid w:val="00B02287"/>
    <w:rsid w:val="00B120D4"/>
    <w:rsid w:val="00B13F60"/>
    <w:rsid w:val="00B21598"/>
    <w:rsid w:val="00B326A8"/>
    <w:rsid w:val="00B349A8"/>
    <w:rsid w:val="00B36B59"/>
    <w:rsid w:val="00B44B06"/>
    <w:rsid w:val="00B556FC"/>
    <w:rsid w:val="00B6057A"/>
    <w:rsid w:val="00B615FA"/>
    <w:rsid w:val="00B64E19"/>
    <w:rsid w:val="00B661E5"/>
    <w:rsid w:val="00B703D2"/>
    <w:rsid w:val="00B734E9"/>
    <w:rsid w:val="00B739C3"/>
    <w:rsid w:val="00B80F03"/>
    <w:rsid w:val="00B85B4B"/>
    <w:rsid w:val="00B85F18"/>
    <w:rsid w:val="00B93B51"/>
    <w:rsid w:val="00BB0F96"/>
    <w:rsid w:val="00BC4175"/>
    <w:rsid w:val="00BC62DF"/>
    <w:rsid w:val="00BD11DF"/>
    <w:rsid w:val="00BE2216"/>
    <w:rsid w:val="00BE5D8C"/>
    <w:rsid w:val="00BE606E"/>
    <w:rsid w:val="00BF290A"/>
    <w:rsid w:val="00BF46F8"/>
    <w:rsid w:val="00BF7DFE"/>
    <w:rsid w:val="00C03ADC"/>
    <w:rsid w:val="00C04EE6"/>
    <w:rsid w:val="00C06388"/>
    <w:rsid w:val="00C06CA6"/>
    <w:rsid w:val="00C07275"/>
    <w:rsid w:val="00C14491"/>
    <w:rsid w:val="00C16A5A"/>
    <w:rsid w:val="00C264C3"/>
    <w:rsid w:val="00C30A3D"/>
    <w:rsid w:val="00C36D01"/>
    <w:rsid w:val="00C37A4C"/>
    <w:rsid w:val="00C37F24"/>
    <w:rsid w:val="00C428A7"/>
    <w:rsid w:val="00C448F2"/>
    <w:rsid w:val="00C45D28"/>
    <w:rsid w:val="00C5195E"/>
    <w:rsid w:val="00C579DC"/>
    <w:rsid w:val="00C631AD"/>
    <w:rsid w:val="00C639CE"/>
    <w:rsid w:val="00C675FC"/>
    <w:rsid w:val="00C77AAF"/>
    <w:rsid w:val="00C77C8A"/>
    <w:rsid w:val="00C865A7"/>
    <w:rsid w:val="00C876D2"/>
    <w:rsid w:val="00C914B0"/>
    <w:rsid w:val="00CA3404"/>
    <w:rsid w:val="00CB4CC3"/>
    <w:rsid w:val="00CB583F"/>
    <w:rsid w:val="00CB7B75"/>
    <w:rsid w:val="00CC320C"/>
    <w:rsid w:val="00CC5883"/>
    <w:rsid w:val="00CC7B8C"/>
    <w:rsid w:val="00CD60F3"/>
    <w:rsid w:val="00D030F9"/>
    <w:rsid w:val="00D04341"/>
    <w:rsid w:val="00D12A4D"/>
    <w:rsid w:val="00D12FED"/>
    <w:rsid w:val="00D14666"/>
    <w:rsid w:val="00D23A7B"/>
    <w:rsid w:val="00D23ED4"/>
    <w:rsid w:val="00D263DA"/>
    <w:rsid w:val="00D26ABA"/>
    <w:rsid w:val="00D31BBB"/>
    <w:rsid w:val="00D458A3"/>
    <w:rsid w:val="00D513BD"/>
    <w:rsid w:val="00D559BC"/>
    <w:rsid w:val="00D55A4F"/>
    <w:rsid w:val="00D70F8E"/>
    <w:rsid w:val="00D74621"/>
    <w:rsid w:val="00D77721"/>
    <w:rsid w:val="00D82EE6"/>
    <w:rsid w:val="00D83E86"/>
    <w:rsid w:val="00D975CB"/>
    <w:rsid w:val="00DA6E7A"/>
    <w:rsid w:val="00DA7363"/>
    <w:rsid w:val="00DB47EE"/>
    <w:rsid w:val="00DC064E"/>
    <w:rsid w:val="00DC3C84"/>
    <w:rsid w:val="00DC7F23"/>
    <w:rsid w:val="00DD7ACB"/>
    <w:rsid w:val="00DE5A42"/>
    <w:rsid w:val="00DF6095"/>
    <w:rsid w:val="00E06738"/>
    <w:rsid w:val="00E0739C"/>
    <w:rsid w:val="00E13D7D"/>
    <w:rsid w:val="00E212A8"/>
    <w:rsid w:val="00E21D3D"/>
    <w:rsid w:val="00E31E1A"/>
    <w:rsid w:val="00E34CC9"/>
    <w:rsid w:val="00E34DD7"/>
    <w:rsid w:val="00E36721"/>
    <w:rsid w:val="00E46B46"/>
    <w:rsid w:val="00E50293"/>
    <w:rsid w:val="00E52D6E"/>
    <w:rsid w:val="00E60D2B"/>
    <w:rsid w:val="00E64ADE"/>
    <w:rsid w:val="00E65752"/>
    <w:rsid w:val="00E65A4E"/>
    <w:rsid w:val="00E708DC"/>
    <w:rsid w:val="00E72F9F"/>
    <w:rsid w:val="00E8095D"/>
    <w:rsid w:val="00E90791"/>
    <w:rsid w:val="00E90813"/>
    <w:rsid w:val="00EA0346"/>
    <w:rsid w:val="00EA497E"/>
    <w:rsid w:val="00EA7976"/>
    <w:rsid w:val="00EA7A39"/>
    <w:rsid w:val="00EB36DB"/>
    <w:rsid w:val="00EC3920"/>
    <w:rsid w:val="00ED1E91"/>
    <w:rsid w:val="00ED4625"/>
    <w:rsid w:val="00EE134B"/>
    <w:rsid w:val="00EF5045"/>
    <w:rsid w:val="00F00620"/>
    <w:rsid w:val="00F010BA"/>
    <w:rsid w:val="00F04961"/>
    <w:rsid w:val="00F04D7D"/>
    <w:rsid w:val="00F07AB1"/>
    <w:rsid w:val="00F15CC2"/>
    <w:rsid w:val="00F21140"/>
    <w:rsid w:val="00F21ED8"/>
    <w:rsid w:val="00F25038"/>
    <w:rsid w:val="00F25CDB"/>
    <w:rsid w:val="00F442F6"/>
    <w:rsid w:val="00F524FF"/>
    <w:rsid w:val="00F54B2C"/>
    <w:rsid w:val="00F63A40"/>
    <w:rsid w:val="00F669FF"/>
    <w:rsid w:val="00F66F57"/>
    <w:rsid w:val="00F71CE1"/>
    <w:rsid w:val="00F72879"/>
    <w:rsid w:val="00F72B06"/>
    <w:rsid w:val="00F776A4"/>
    <w:rsid w:val="00F919E9"/>
    <w:rsid w:val="00F96FA7"/>
    <w:rsid w:val="00FA170C"/>
    <w:rsid w:val="00FA4AFF"/>
    <w:rsid w:val="00FB21F8"/>
    <w:rsid w:val="00FC156A"/>
    <w:rsid w:val="00FC1FB5"/>
    <w:rsid w:val="00FD0BBA"/>
    <w:rsid w:val="00FD2D28"/>
    <w:rsid w:val="00FD3994"/>
    <w:rsid w:val="00FD60B7"/>
    <w:rsid w:val="00FD6C9D"/>
    <w:rsid w:val="00FE618B"/>
    <w:rsid w:val="00FE628C"/>
    <w:rsid w:val="00FF575A"/>
    <w:rsid w:val="00FF6D0A"/>
    <w:rsid w:val="011F474C"/>
    <w:rsid w:val="02172B8C"/>
    <w:rsid w:val="03561F09"/>
    <w:rsid w:val="09F96CEC"/>
    <w:rsid w:val="0C5B44D7"/>
    <w:rsid w:val="0EDB7766"/>
    <w:rsid w:val="11D32976"/>
    <w:rsid w:val="123B1F6E"/>
    <w:rsid w:val="13420C57"/>
    <w:rsid w:val="13575B12"/>
    <w:rsid w:val="16B25250"/>
    <w:rsid w:val="1D715850"/>
    <w:rsid w:val="1E917662"/>
    <w:rsid w:val="1EAC46EC"/>
    <w:rsid w:val="1F1C1E0E"/>
    <w:rsid w:val="1FC32BB6"/>
    <w:rsid w:val="2240682E"/>
    <w:rsid w:val="29E97944"/>
    <w:rsid w:val="2B6F5066"/>
    <w:rsid w:val="2F9D6E59"/>
    <w:rsid w:val="33617221"/>
    <w:rsid w:val="382D2E86"/>
    <w:rsid w:val="3A0278D1"/>
    <w:rsid w:val="3E2D5039"/>
    <w:rsid w:val="3E6B790F"/>
    <w:rsid w:val="3F526C4B"/>
    <w:rsid w:val="41970A1B"/>
    <w:rsid w:val="44EB182B"/>
    <w:rsid w:val="44EF31BD"/>
    <w:rsid w:val="479E47ED"/>
    <w:rsid w:val="48850CD0"/>
    <w:rsid w:val="4A4B4D63"/>
    <w:rsid w:val="4E447380"/>
    <w:rsid w:val="50AF5D81"/>
    <w:rsid w:val="512001A9"/>
    <w:rsid w:val="512F520F"/>
    <w:rsid w:val="53CE4EBA"/>
    <w:rsid w:val="54B81D72"/>
    <w:rsid w:val="550672B9"/>
    <w:rsid w:val="5523329E"/>
    <w:rsid w:val="55254864"/>
    <w:rsid w:val="56486A5C"/>
    <w:rsid w:val="5D570CFD"/>
    <w:rsid w:val="61C15914"/>
    <w:rsid w:val="61F909F8"/>
    <w:rsid w:val="62000A04"/>
    <w:rsid w:val="62A008C9"/>
    <w:rsid w:val="633914DA"/>
    <w:rsid w:val="64EA2190"/>
    <w:rsid w:val="661D6B5D"/>
    <w:rsid w:val="683D6DA7"/>
    <w:rsid w:val="68D51CA5"/>
    <w:rsid w:val="69DF0216"/>
    <w:rsid w:val="6D661CA7"/>
    <w:rsid w:val="72CF52A1"/>
    <w:rsid w:val="7993773F"/>
    <w:rsid w:val="7D121F07"/>
    <w:rsid w:val="7D6B2EAC"/>
    <w:rsid w:val="7D6F33E0"/>
    <w:rsid w:val="7FCD3D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0"/>
    <w:qFormat/>
    <w:uiPriority w:val="0"/>
    <w:pPr>
      <w:keepNext/>
      <w:keepLines/>
      <w:spacing w:before="260" w:after="260" w:line="415" w:lineRule="auto"/>
      <w:outlineLvl w:val="1"/>
    </w:pPr>
    <w:rPr>
      <w:rFonts w:ascii="Arial" w:hAnsi="Arial" w:eastAsia="黑体"/>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autoRedefine/>
    <w:semiHidden/>
    <w:unhideWhenUsed/>
    <w:qFormat/>
    <w:uiPriority w:val="99"/>
    <w:rPr>
      <w:color w:val="0000FF"/>
      <w:u w:val="single"/>
    </w:rPr>
  </w:style>
  <w:style w:type="character" w:customStyle="1" w:styleId="10">
    <w:name w:val="标题 2 Char"/>
    <w:basedOn w:val="8"/>
    <w:link w:val="3"/>
    <w:autoRedefine/>
    <w:qFormat/>
    <w:uiPriority w:val="0"/>
    <w:rPr>
      <w:rFonts w:ascii="Arial" w:hAnsi="Arial" w:eastAsia="黑体" w:cs="Times New Roman"/>
      <w:b/>
      <w:bCs/>
      <w:sz w:val="32"/>
      <w:szCs w:val="32"/>
    </w:rPr>
  </w:style>
  <w:style w:type="character" w:customStyle="1" w:styleId="11">
    <w:name w:val="页眉 Char"/>
    <w:basedOn w:val="8"/>
    <w:link w:val="6"/>
    <w:autoRedefine/>
    <w:qFormat/>
    <w:uiPriority w:val="99"/>
    <w:rPr>
      <w:rFonts w:ascii="Times New Roman" w:hAnsi="Times New Roman" w:eastAsia="宋体" w:cs="Times New Roman"/>
      <w:sz w:val="18"/>
      <w:szCs w:val="18"/>
    </w:rPr>
  </w:style>
  <w:style w:type="character" w:customStyle="1" w:styleId="12">
    <w:name w:val="页脚 Char"/>
    <w:basedOn w:val="8"/>
    <w:link w:val="5"/>
    <w:autoRedefine/>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4"/>
    <w:autoRedefine/>
    <w:semiHidden/>
    <w:qFormat/>
    <w:uiPriority w:val="99"/>
    <w:rPr>
      <w:rFonts w:ascii="Times New Roman" w:hAnsi="Times New Roman" w:eastAsia="宋体" w:cs="Times New Roman"/>
      <w:sz w:val="18"/>
      <w:szCs w:val="18"/>
    </w:rPr>
  </w:style>
  <w:style w:type="paragraph" w:customStyle="1" w:styleId="15">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FDFF4-E5E1-40AD-964E-B132BD95A4A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213</Words>
  <Characters>1219</Characters>
  <Lines>10</Lines>
  <Paragraphs>2</Paragraphs>
  <TotalTime>128</TotalTime>
  <ScaleCrop>false</ScaleCrop>
  <LinksUpToDate>false</LinksUpToDate>
  <CharactersWithSpaces>1430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2019-11-26T02:08:00Z</dcterms:created>
  <dc:creator>zzbzyx@126.com</dc:creator>
  <cp:lastModifiedBy>Lenovo</cp:lastModifiedBy>
  <cp:lastPrinted>2023-12-06T00:47:00Z</cp:lastPrinted>
  <dcterms:modified xsi:type="dcterms:W3CDTF">2024-01-09T09:43:40Z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04DA71861CC545638CC87852A7AEE4E3</vt:lpwstr>
  </property>
</Properties>
</file>